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38A7">
      <w:pPr>
        <w:spacing w:before="312" w:beforeLines="100" w:after="312" w:afterLines="100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  <w14:ligatures w14:val="none"/>
        </w:rPr>
        <w:t>学科教学（语文）硕士学位点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学位论文开题安排公告</w:t>
      </w:r>
    </w:p>
    <w:p w14:paraId="2D4E55CA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学科教学（语文）一组</w:t>
      </w:r>
    </w:p>
    <w:p w14:paraId="4C16C5A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2024年12月22日8:00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504FE06A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22-212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43B2C4F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三、开题组长：童志斌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5FCD41DC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四、开题专家：潘丽云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范煜辉</w:t>
      </w:r>
      <w:r>
        <w:rPr>
          <w:rFonts w:hint="eastAsia" w:ascii="宋体" w:hAnsi="宋体" w:eastAsia="宋体"/>
          <w:color w:val="0000FF"/>
          <w:sz w:val="28"/>
          <w:szCs w:val="28"/>
          <w:lang w:val="en-US" w:eastAsia="zh-CN"/>
        </w:rPr>
        <w:t xml:space="preserve">  </w:t>
      </w:r>
    </w:p>
    <w:p w14:paraId="08B68786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庞兰婷、林妍妍</w:t>
      </w:r>
    </w:p>
    <w:p w14:paraId="09462E46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309"/>
        <w:gridCol w:w="939"/>
        <w:gridCol w:w="3409"/>
      </w:tblGrid>
      <w:tr w14:paraId="3FF82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16CB79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9E7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A9C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25E9F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0B84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4B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/>
              </w:rPr>
              <w:t>论文题目</w:t>
            </w:r>
          </w:p>
        </w:tc>
      </w:tr>
      <w:tr w14:paraId="7C8F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202320700128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钱淑英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1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基于对话理论的高中语文现当代小说阅读教学研究</w:t>
            </w:r>
          </w:p>
        </w:tc>
      </w:tr>
      <w:tr w14:paraId="1A95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尤敏莎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真实情境下的初中实用文写作教学研究</w:t>
            </w:r>
          </w:p>
        </w:tc>
      </w:tr>
      <w:tr w14:paraId="7AD1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杨嘉妮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宋清秀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7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基于召唤结构理论的初中语文读写结合教学研究</w:t>
            </w:r>
          </w:p>
        </w:tc>
      </w:tr>
      <w:tr w14:paraId="453CA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4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张莉虹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杨继利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初中语文写作过程性评价应用研究</w:t>
            </w:r>
          </w:p>
        </w:tc>
      </w:tr>
      <w:tr w14:paraId="31E9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李梦琪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C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俞向军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C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高考语文试题中批判性思维考查的评估研究</w:t>
            </w:r>
          </w:p>
        </w:tc>
      </w:tr>
      <w:tr w14:paraId="4A7F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E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2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柳扬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俞向军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社会与情感学习融入高中语文课堂教学的实践研究</w:t>
            </w:r>
          </w:p>
        </w:tc>
      </w:tr>
      <w:tr w14:paraId="5408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杨继利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F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初中小说阅读教学的问题链设计研究</w:t>
            </w:r>
          </w:p>
        </w:tc>
      </w:tr>
      <w:tr w14:paraId="1CE9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F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何雨晴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2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钱淑英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跨文化理解视角下高中语文外国小说阅读教学策略研究</w:t>
            </w:r>
          </w:p>
        </w:tc>
      </w:tr>
      <w:tr w14:paraId="7ECF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董珊珊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余凡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高中现代散文逆向设计阅读教学研究</w:t>
            </w:r>
          </w:p>
        </w:tc>
      </w:tr>
      <w:tr w14:paraId="5024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祝心怡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李震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0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在审美互动模式下看初中小说批注式阅读教学问题及其实践</w:t>
            </w:r>
          </w:p>
        </w:tc>
      </w:tr>
      <w:tr w14:paraId="58C6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牛馨悦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B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李震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在期待视野下看初中现当代散文阅读教学问题及其实践</w:t>
            </w:r>
          </w:p>
        </w:tc>
      </w:tr>
      <w:tr w14:paraId="4C1C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2022207000146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黄柯青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初中记叙文写作项目式教学研究</w:t>
            </w:r>
          </w:p>
        </w:tc>
      </w:tr>
      <w:tr w14:paraId="1D1E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202320700182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6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常立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基于项目化学习的初中说明文阅读教学研究</w:t>
            </w:r>
          </w:p>
        </w:tc>
      </w:tr>
    </w:tbl>
    <w:p w14:paraId="0E5860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83489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学科教学（语文）二组</w:t>
      </w:r>
    </w:p>
    <w:p w14:paraId="1EE7AE91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2024年12月22日8:00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0D6804B7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22-214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 w14:paraId="552AC2FB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三、开题组长：郑逸农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29310466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四、开题专家：余凡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王倩倩</w:t>
      </w:r>
      <w:r>
        <w:rPr>
          <w:rFonts w:hint="eastAsia" w:ascii="宋体" w:hAnsi="宋体" w:eastAsia="宋体"/>
          <w:color w:val="0000FF"/>
          <w:sz w:val="28"/>
          <w:szCs w:val="28"/>
          <w:lang w:val="en-US" w:eastAsia="zh-CN"/>
        </w:rPr>
        <w:t xml:space="preserve"> </w:t>
      </w:r>
    </w:p>
    <w:p w14:paraId="35A43A8B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杨雨君、叶璐颖</w:t>
      </w:r>
    </w:p>
    <w:p w14:paraId="6979339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73"/>
        <w:gridCol w:w="889"/>
        <w:gridCol w:w="1309"/>
        <w:gridCol w:w="939"/>
        <w:gridCol w:w="3409"/>
      </w:tblGrid>
      <w:tr w14:paraId="38F4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EE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5B5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51F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30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F1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7AA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论文题目</w:t>
            </w:r>
          </w:p>
        </w:tc>
      </w:tr>
      <w:tr w14:paraId="1B3D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2022207000145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赵杜吉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范煜辉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教育戏剧在初中鲁迅小说教学中的应用研究</w:t>
            </w:r>
          </w:p>
        </w:tc>
      </w:tr>
      <w:tr w14:paraId="5094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姜荣苗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“非指示性”教育理念下的初中现代散文阅读教学研究</w:t>
            </w:r>
          </w:p>
        </w:tc>
      </w:tr>
      <w:tr w14:paraId="6FEF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李欣婷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黄沚青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跨媒介视角下的高中语文新闻作品教学研究</w:t>
            </w:r>
          </w:p>
        </w:tc>
      </w:tr>
      <w:tr w14:paraId="380C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宋乐乐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基于媒介素养理论的中学语文新闻作品阅读教学研究</w:t>
            </w:r>
          </w:p>
        </w:tc>
      </w:tr>
      <w:tr w14:paraId="7EAD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王汉墀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基于互文性理论的初中现代传记作品阅读教学研究</w:t>
            </w:r>
          </w:p>
        </w:tc>
      </w:tr>
      <w:tr w14:paraId="2BA3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戴尔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基于共情理论的《红星照耀中国》整本书阅读教学研究</w:t>
            </w:r>
          </w:p>
        </w:tc>
      </w:tr>
      <w:tr w14:paraId="7ED8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徐慧慧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初中小说整本书阅读专题教学研究——以《西游记》为例</w:t>
            </w:r>
          </w:p>
        </w:tc>
      </w:tr>
      <w:tr w14:paraId="4B27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3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F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季安婷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范煜辉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教育戏剧在初中语文“活动·探究”单元教学中的应用研究</w:t>
            </w:r>
          </w:p>
        </w:tc>
      </w:tr>
      <w:tr w14:paraId="2179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林翔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杨继利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基于教学评一致性的初中小说阅读教学研究</w:t>
            </w:r>
          </w:p>
        </w:tc>
      </w:tr>
      <w:tr w14:paraId="19A9F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李昕羿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初中散文情境教学研究</w:t>
            </w:r>
          </w:p>
        </w:tc>
      </w:tr>
      <w:tr w14:paraId="1082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占诗静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基于“思辨性阅读与表达”学习任务群的初中文言文教学研究</w:t>
            </w:r>
          </w:p>
        </w:tc>
      </w:tr>
      <w:tr w14:paraId="6980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2022207000148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汪思琦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黄沚青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“一体四面”理念下的高中先秦诸子散文教学研究</w:t>
            </w:r>
          </w:p>
        </w:tc>
      </w:tr>
      <w:tr w14:paraId="74F5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宋思语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初中自读课文批注式阅读教学研究</w:t>
            </w:r>
          </w:p>
        </w:tc>
      </w:tr>
    </w:tbl>
    <w:p w14:paraId="75E3D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E638A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学科教学（语文）三组</w:t>
      </w:r>
    </w:p>
    <w:p w14:paraId="4C93B44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2024年12月22日8:00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2A62A29A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22-216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 w14:paraId="5343392E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三、开题组长：俞向军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147898FB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四、开题专家：李震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蒋文华</w:t>
      </w:r>
    </w:p>
    <w:p w14:paraId="71513BC8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庞梦莹、谭燕琳</w:t>
      </w:r>
    </w:p>
    <w:p w14:paraId="78323B6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13"/>
        <w:gridCol w:w="1116"/>
        <w:gridCol w:w="1142"/>
        <w:gridCol w:w="939"/>
        <w:gridCol w:w="3409"/>
      </w:tblGrid>
      <w:tr w14:paraId="7E5C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353D03E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FA2F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E1E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7BF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D9FB1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8B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/>
              </w:rPr>
              <w:t>论文题目</w:t>
            </w:r>
          </w:p>
        </w:tc>
      </w:tr>
      <w:tr w14:paraId="6B70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王君彧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基于功能语篇分析的中学鲁迅小说阅读教学研究</w:t>
            </w:r>
          </w:p>
        </w:tc>
      </w:tr>
      <w:tr w14:paraId="5B74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吴月江鸿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基于中国古代文体学的中学古代传状文阅读教学研究</w:t>
            </w:r>
          </w:p>
        </w:tc>
      </w:tr>
      <w:tr w14:paraId="1D9D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林俊杰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黄沚青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4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戏剧教学法在高中语文外国小说教学中的应用研究</w:t>
            </w:r>
          </w:p>
        </w:tc>
      </w:tr>
      <w:tr w14:paraId="1261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蔡倩倩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钱淑英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文化诗学视域下《红楼梦》整本书阅读专题教学研究</w:t>
            </w:r>
          </w:p>
        </w:tc>
      </w:tr>
      <w:tr w14:paraId="0BD8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202320700178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张澳平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殷晓杰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跨学科视域下的《红星照耀中国》整本书阅读教学研究</w:t>
            </w:r>
          </w:p>
        </w:tc>
      </w:tr>
      <w:tr w14:paraId="5656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0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孔忆雯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杨继利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初中古诗词群文阅读教学中的议题设计研究</w:t>
            </w:r>
          </w:p>
        </w:tc>
      </w:tr>
      <w:tr w14:paraId="0EFC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蔡宏宇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A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殷晓杰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高中古代论说文微专题教学研究</w:t>
            </w:r>
          </w:p>
        </w:tc>
      </w:tr>
      <w:tr w14:paraId="0F84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林韦禾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2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杨继利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初中实用文“读写一体化”教学研究</w:t>
            </w:r>
          </w:p>
        </w:tc>
      </w:tr>
      <w:tr w14:paraId="4CF0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3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张蕊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基于召唤结构理论的高中小说阅读教学研究</w:t>
            </w:r>
          </w:p>
        </w:tc>
      </w:tr>
      <w:tr w14:paraId="6F65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林依凤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9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殷晓杰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初高中文言文词汇语法衔接教学研究</w:t>
            </w:r>
          </w:p>
        </w:tc>
      </w:tr>
      <w:tr w14:paraId="3D4AA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陈冰莹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基于召唤结构理论的高中古诗词教学研究</w:t>
            </w:r>
          </w:p>
        </w:tc>
      </w:tr>
      <w:tr w14:paraId="58CE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军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常立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大单元教学视域下的初中语文单元整体教学探究</w:t>
            </w:r>
          </w:p>
        </w:tc>
      </w:tr>
      <w:tr w14:paraId="2F48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8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郭宇婷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宋清秀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文本互涉理论在初中语文古诗文阅读教学中的研究</w:t>
            </w:r>
          </w:p>
        </w:tc>
      </w:tr>
    </w:tbl>
    <w:p w14:paraId="3B32823F">
      <w:pPr>
        <w:ind w:right="1120"/>
        <w:jc w:val="both"/>
        <w:rPr>
          <w:rFonts w:hint="eastAsia" w:ascii="宋体" w:hAnsi="宋体" w:eastAsia="宋体"/>
          <w:color w:val="auto"/>
          <w:sz w:val="28"/>
          <w:szCs w:val="28"/>
        </w:rPr>
      </w:pPr>
    </w:p>
    <w:p w14:paraId="20CA7DA4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学科教学（语文）四组</w:t>
      </w:r>
    </w:p>
    <w:p w14:paraId="58A081EB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2024年12月22日8:00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5C47596A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22-218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 w14:paraId="5B0A5FFE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杨继利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0424FB84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四、开题专家：宋清秀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钱淑英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任睿</w:t>
      </w:r>
      <w:r>
        <w:rPr>
          <w:rFonts w:hint="eastAsia" w:ascii="宋体" w:hAnsi="宋体" w:eastAsia="宋体"/>
          <w:color w:val="0000FF"/>
          <w:sz w:val="28"/>
          <w:szCs w:val="28"/>
          <w:lang w:val="en-US" w:eastAsia="zh-CN"/>
        </w:rPr>
        <w:t xml:space="preserve"> </w:t>
      </w:r>
    </w:p>
    <w:p w14:paraId="67233D21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吴静瑜 章澳盈</w:t>
      </w:r>
    </w:p>
    <w:p w14:paraId="4FF7418E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309"/>
        <w:gridCol w:w="939"/>
        <w:gridCol w:w="3409"/>
      </w:tblGrid>
      <w:tr w14:paraId="61B90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0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B6D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8259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54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4B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73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论文题目</w:t>
            </w:r>
          </w:p>
        </w:tc>
      </w:tr>
      <w:tr w14:paraId="251E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202320700146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宗瑞雪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基于叙事理论的中学史传文阅读教学研究</w:t>
            </w:r>
          </w:p>
        </w:tc>
      </w:tr>
      <w:tr w14:paraId="1C59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周镐峰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初中长篇小说整本书阅读微专题教学研究</w:t>
            </w:r>
          </w:p>
          <w:p w14:paraId="756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—以《钢铁是怎样炼成的》为例</w:t>
            </w:r>
          </w:p>
        </w:tc>
      </w:tr>
      <w:tr w14:paraId="6161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施挺挺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俞向军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核心素养下的语言文字运用试题分析及启示</w:t>
            </w:r>
          </w:p>
        </w:tc>
      </w:tr>
      <w:tr w14:paraId="0B9B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赵诗怡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俞向军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中考整本书阅读试题中的能力考查分析研究</w:t>
            </w:r>
          </w:p>
        </w:tc>
      </w:tr>
      <w:tr w14:paraId="0BA7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朱淙淙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sz w:val="22"/>
                <w:u w:val="none"/>
              </w:rPr>
              <w:t>潘丽云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初中整本书阅读教学中学习任务单的设计与实施研究</w:t>
            </w:r>
          </w:p>
        </w:tc>
      </w:tr>
      <w:tr w14:paraId="10F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金晏伊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蒋文华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学习任务单在高中语文梳理板块中的应用研究</w:t>
            </w:r>
          </w:p>
        </w:tc>
      </w:tr>
      <w:tr w14:paraId="6FBE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刘云洁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王国均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2"/>
                <w:u w:val="none"/>
              </w:rPr>
              <w:t>七年级语文“活动·探究”单元读写教学研究</w:t>
            </w:r>
          </w:p>
        </w:tc>
      </w:tr>
      <w:tr w14:paraId="1879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202320700169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徐妍秋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俞向军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中考语文跨学科试题分析及教学启示研究</w:t>
            </w:r>
          </w:p>
        </w:tc>
      </w:tr>
      <w:tr w14:paraId="1EAB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杨沁怡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俞明雅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表现性评价在高中语文“实用性阅读与交流”学习任务群的应用研究</w:t>
            </w:r>
          </w:p>
        </w:tc>
      </w:tr>
      <w:tr w14:paraId="3D30A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202320700155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顾佳蒙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蒋文华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学习任务群视阈下初中语文读写结合教学实践研究</w:t>
            </w:r>
          </w:p>
        </w:tc>
      </w:tr>
      <w:tr w14:paraId="5D32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202320700174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戴惠洁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郑逸农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初中古诗阅读专题教学研究</w:t>
            </w:r>
          </w:p>
        </w:tc>
      </w:tr>
      <w:tr w14:paraId="5AA0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202320700181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吴奕杉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童志斌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指向逻辑思维培养的初中语文说明文阅读教学研究</w:t>
            </w:r>
          </w:p>
        </w:tc>
      </w:tr>
      <w:tr w14:paraId="2A5C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202320700164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徐雨洁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王国均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基于情境任务的八年级非虚构写作教学研究</w:t>
            </w:r>
          </w:p>
        </w:tc>
      </w:tr>
    </w:tbl>
    <w:p w14:paraId="07BA8DD1">
      <w:pPr>
        <w:ind w:right="1120"/>
        <w:jc w:val="both"/>
        <w:rPr>
          <w:rFonts w:hint="eastAsia" w:ascii="宋体" w:hAnsi="宋体" w:eastAsia="宋体"/>
          <w:color w:val="auto"/>
          <w:sz w:val="28"/>
          <w:szCs w:val="28"/>
        </w:rPr>
      </w:pPr>
    </w:p>
    <w:p w14:paraId="38B1C878">
      <w:pPr>
        <w:ind w:right="112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教育学院</w:t>
      </w:r>
    </w:p>
    <w:p w14:paraId="14323D05">
      <w:pPr>
        <w:ind w:firstLine="5600" w:firstLineChars="2000"/>
        <w:rPr>
          <w:color w:val="auto"/>
        </w:rPr>
      </w:pPr>
      <w:r>
        <w:rPr>
          <w:rFonts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28"/>
          <w:szCs w:val="28"/>
        </w:rPr>
        <w:t>月1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jU1ODZkODAxMmZhNGI2ZDJmNWI0Y2E4MGEzNzkifQ=="/>
  </w:docVars>
  <w:rsids>
    <w:rsidRoot w:val="002E34CE"/>
    <w:rsid w:val="00142FB6"/>
    <w:rsid w:val="002E34CE"/>
    <w:rsid w:val="002E355F"/>
    <w:rsid w:val="00F2598F"/>
    <w:rsid w:val="06250237"/>
    <w:rsid w:val="076F37A0"/>
    <w:rsid w:val="0E830447"/>
    <w:rsid w:val="13117BFA"/>
    <w:rsid w:val="19491AB6"/>
    <w:rsid w:val="1DE54C1C"/>
    <w:rsid w:val="1F1C5F7A"/>
    <w:rsid w:val="1FAD7B1B"/>
    <w:rsid w:val="222D2C4A"/>
    <w:rsid w:val="239A7798"/>
    <w:rsid w:val="250E0E1B"/>
    <w:rsid w:val="256D7129"/>
    <w:rsid w:val="287F0D0A"/>
    <w:rsid w:val="28A75AB0"/>
    <w:rsid w:val="29F80A0B"/>
    <w:rsid w:val="2CF720DF"/>
    <w:rsid w:val="2FC811E9"/>
    <w:rsid w:val="31061FC9"/>
    <w:rsid w:val="36D14A36"/>
    <w:rsid w:val="36FC068F"/>
    <w:rsid w:val="3CFA7746"/>
    <w:rsid w:val="3DE22D75"/>
    <w:rsid w:val="3EE361A7"/>
    <w:rsid w:val="41CA316D"/>
    <w:rsid w:val="41E06866"/>
    <w:rsid w:val="42CF1482"/>
    <w:rsid w:val="44FD328B"/>
    <w:rsid w:val="461B7E6D"/>
    <w:rsid w:val="4A663716"/>
    <w:rsid w:val="4D583754"/>
    <w:rsid w:val="533343D8"/>
    <w:rsid w:val="54115EB3"/>
    <w:rsid w:val="5486329D"/>
    <w:rsid w:val="57F302C1"/>
    <w:rsid w:val="5A804882"/>
    <w:rsid w:val="5B8D1EE9"/>
    <w:rsid w:val="5BFB31EB"/>
    <w:rsid w:val="60FA5275"/>
    <w:rsid w:val="685F4A1B"/>
    <w:rsid w:val="6AB029CA"/>
    <w:rsid w:val="6C226099"/>
    <w:rsid w:val="6E3E7EB3"/>
    <w:rsid w:val="6F3F7EFB"/>
    <w:rsid w:val="7138144D"/>
    <w:rsid w:val="720A7374"/>
    <w:rsid w:val="74CB0B2C"/>
    <w:rsid w:val="78E13B3B"/>
    <w:rsid w:val="7A030B87"/>
    <w:rsid w:val="7A4F3DD3"/>
    <w:rsid w:val="7CF77FE5"/>
    <w:rsid w:val="7E5D0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2300</Words>
  <Characters>2948</Characters>
  <TotalTime>1</TotalTime>
  <ScaleCrop>false</ScaleCrop>
  <LinksUpToDate>false</LinksUpToDate>
  <CharactersWithSpaces>3020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2024-12-13T08:42:00Z</dcterms:created>
  <dc:creator>Administrator</dc:creator>
  <cp:lastModifiedBy>kit.</cp:lastModifiedBy>
  <dcterms:modified xsi:type="dcterms:W3CDTF">2024-12-15T02:14:24Z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630155790EE045F296B5E06F40801D94_12</vt:lpwstr>
  </property>
</Properties>
</file>